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32"/>
        </w:rPr>
      </w:pPr>
      <w:r>
        <w:rPr>
          <w:rFonts w:hint="default" w:ascii="Times New Roman" w:hAnsi="Times New Roman" w:cs="Times New Roman"/>
          <w:sz w:val="24"/>
          <w:szCs w:val="32"/>
        </w:rPr>
        <w:t>Как легко открыть компанию в Китае?</w:t>
      </w:r>
    </w:p>
    <w:p>
      <w:pPr>
        <w:rPr>
          <w:rFonts w:hint="default" w:ascii="Times New Roman" w:hAnsi="Times New Roman" w:cs="Times New Roman"/>
          <w:sz w:val="24"/>
          <w:szCs w:val="32"/>
        </w:rPr>
      </w:pPr>
    </w:p>
    <w:p>
      <w:pPr>
        <w:rPr>
          <w:rFonts w:hint="default" w:ascii="Times New Roman" w:hAnsi="Times New Roman" w:cs="Times New Roman"/>
          <w:sz w:val="24"/>
          <w:szCs w:val="32"/>
        </w:rPr>
      </w:pPr>
      <w:r>
        <w:rPr>
          <w:rFonts w:hint="default" w:ascii="Times New Roman" w:hAnsi="Times New Roman" w:cs="Times New Roman"/>
          <w:sz w:val="24"/>
          <w:szCs w:val="32"/>
        </w:rPr>
        <w:t>Зона технико-экономического развития «Ганьцюаньпу» г.Урумчи (промышленная зона) расположена в важном узле восточного промышленного коридора района Урумчи-Чанцзи и в центральной части Экономического пояса на северном склоне Тяньшань, в 45 километрах от центра города Урумчи. Общая площадь территории зоны составляет 360 квадратных километров.</w:t>
      </w:r>
    </w:p>
    <w:p>
      <w:pPr>
        <w:rPr>
          <w:rFonts w:hint="eastAsia" w:ascii="Times New Roman" w:hAnsi="Times New Roman" w:cs="Times New Roman" w:eastAsiaTheme="minorEastAsia"/>
          <w:sz w:val="24"/>
          <w:szCs w:val="32"/>
          <w:lang w:eastAsia="zh-CN"/>
        </w:rPr>
      </w:pPr>
      <w:r>
        <w:rPr>
          <w:rFonts w:hint="eastAsia" w:ascii="Times New Roman" w:hAnsi="Times New Roman" w:cs="Times New Roman" w:eastAsiaTheme="minorEastAsia"/>
          <w:sz w:val="24"/>
          <w:szCs w:val="32"/>
          <w:lang w:eastAsia="zh-CN"/>
        </w:rPr>
        <w:drawing>
          <wp:inline distT="0" distB="0" distL="114300" distR="114300">
            <wp:extent cx="5272405" cy="2964180"/>
            <wp:effectExtent l="0" t="0" r="4445" b="7620"/>
            <wp:docPr id="5" name="图片 5" descr="微信图片_20200213145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0213145409"/>
                    <pic:cNvPicPr>
                      <a:picLocks noChangeAspect="1"/>
                    </pic:cNvPicPr>
                  </pic:nvPicPr>
                  <pic:blipFill>
                    <a:blip r:embed="rId4"/>
                    <a:stretch>
                      <a:fillRect/>
                    </a:stretch>
                  </pic:blipFill>
                  <pic:spPr>
                    <a:xfrm>
                      <a:off x="0" y="0"/>
                      <a:ext cx="5272405" cy="2964180"/>
                    </a:xfrm>
                    <a:prstGeom prst="rect">
                      <a:avLst/>
                    </a:prstGeom>
                  </pic:spPr>
                </pic:pic>
              </a:graphicData>
            </a:graphic>
          </wp:inline>
        </w:drawing>
      </w:r>
    </w:p>
    <w:p>
      <w:pPr>
        <w:rPr>
          <w:rFonts w:hint="default" w:ascii="Times New Roman" w:hAnsi="Times New Roman" w:cs="Times New Roman"/>
          <w:sz w:val="24"/>
          <w:szCs w:val="32"/>
        </w:rPr>
      </w:pPr>
    </w:p>
    <w:p>
      <w:pPr>
        <w:numPr>
          <w:numId w:val="0"/>
        </w:numPr>
        <w:rPr>
          <w:rFonts w:hint="default" w:ascii="Times New Roman" w:hAnsi="Times New Roman" w:cs="Times New Roman"/>
          <w:sz w:val="24"/>
          <w:szCs w:val="32"/>
        </w:rPr>
      </w:pPr>
      <w:r>
        <w:rPr>
          <w:rFonts w:hint="default" w:ascii="Times New Roman" w:hAnsi="Times New Roman" w:cs="Times New Roman"/>
          <w:sz w:val="24"/>
          <w:szCs w:val="32"/>
        </w:rPr>
        <w:t>При регистрации в Зоне технико-экономического развития «Ганьцюаньпу» г.Урумчи для иностранных предприятий предоставляются следующие льготные условия:</w:t>
      </w:r>
    </w:p>
    <w:p>
      <w:pPr>
        <w:numPr>
          <w:ilvl w:val="0"/>
          <w:numId w:val="1"/>
        </w:numPr>
        <w:rPr>
          <w:rFonts w:hint="default" w:ascii="Times New Roman" w:hAnsi="Times New Roman" w:cs="Times New Roman"/>
          <w:sz w:val="24"/>
          <w:szCs w:val="32"/>
        </w:rPr>
      </w:pPr>
      <w:r>
        <w:rPr>
          <w:rFonts w:hint="default" w:ascii="Times New Roman" w:hAnsi="Times New Roman" w:cs="Times New Roman"/>
          <w:sz w:val="24"/>
          <w:szCs w:val="32"/>
        </w:rPr>
        <w:t>Бесплатное офисное помещение на территории зоны.</w:t>
      </w:r>
    </w:p>
    <w:p>
      <w:pPr>
        <w:numPr>
          <w:ilvl w:val="0"/>
          <w:numId w:val="1"/>
        </w:numPr>
        <w:rPr>
          <w:rFonts w:hint="default" w:ascii="Times New Roman" w:hAnsi="Times New Roman" w:cs="Times New Roman"/>
          <w:sz w:val="24"/>
          <w:szCs w:val="32"/>
        </w:rPr>
      </w:pPr>
      <w:r>
        <w:rPr>
          <w:rFonts w:hint="default" w:ascii="Times New Roman" w:hAnsi="Times New Roman" w:cs="Times New Roman"/>
          <w:sz w:val="24"/>
          <w:szCs w:val="32"/>
        </w:rPr>
        <w:t>Бесплатная регистрация компании на территории зоны.</w:t>
      </w:r>
    </w:p>
    <w:p>
      <w:pPr>
        <w:numPr>
          <w:ilvl w:val="0"/>
          <w:numId w:val="1"/>
        </w:numPr>
        <w:rPr>
          <w:rFonts w:hint="default" w:ascii="Times New Roman" w:hAnsi="Times New Roman" w:cs="Times New Roman"/>
          <w:sz w:val="24"/>
          <w:szCs w:val="32"/>
        </w:rPr>
      </w:pPr>
      <w:r>
        <w:rPr>
          <w:rFonts w:hint="default" w:ascii="Times New Roman" w:hAnsi="Times New Roman" w:cs="Times New Roman"/>
          <w:sz w:val="24"/>
          <w:szCs w:val="32"/>
        </w:rPr>
        <w:t>Регистрацию компании ведет отдел по продвижению инвестиций Зоны технико-экономического развития «Ганьцюаньпу» г.Урумчи, процесс регистрации является быстрым и простым.</w:t>
      </w:r>
    </w:p>
    <w:p>
      <w:pPr>
        <w:numPr>
          <w:ilvl w:val="0"/>
          <w:numId w:val="1"/>
        </w:numPr>
        <w:rPr>
          <w:rFonts w:hint="default" w:ascii="Times New Roman" w:hAnsi="Times New Roman" w:cs="Times New Roman"/>
          <w:sz w:val="24"/>
          <w:szCs w:val="32"/>
        </w:rPr>
      </w:pPr>
      <w:r>
        <w:rPr>
          <w:rFonts w:hint="default" w:ascii="Times New Roman" w:hAnsi="Times New Roman" w:cs="Times New Roman"/>
          <w:sz w:val="24"/>
          <w:szCs w:val="32"/>
        </w:rPr>
        <w:t>Налоговые вычеты - на основании ежегодных корпоративных льгот.</w:t>
      </w:r>
    </w:p>
    <w:p>
      <w:pPr>
        <w:rPr>
          <w:rFonts w:hint="default" w:ascii="Times New Roman" w:hAnsi="Times New Roman" w:cs="Times New Roman"/>
          <w:sz w:val="24"/>
          <w:szCs w:val="32"/>
          <w:lang w:val="ru-RU"/>
        </w:rPr>
      </w:pPr>
      <w:r>
        <w:rPr>
          <w:rFonts w:hint="default" w:ascii="Times New Roman" w:hAnsi="Times New Roman" w:cs="Times New Roman"/>
          <w:sz w:val="24"/>
          <w:szCs w:val="32"/>
        </w:rPr>
        <w:t xml:space="preserve"> </w:t>
      </w:r>
      <w:r>
        <w:rPr>
          <w:rFonts w:hint="default" w:ascii="Times New Roman" w:hAnsi="Times New Roman" w:cs="Times New Roman"/>
          <w:sz w:val="24"/>
          <w:szCs w:val="32"/>
          <w:lang w:val="ru-RU"/>
        </w:rPr>
        <w:drawing>
          <wp:inline distT="0" distB="0" distL="114300" distR="114300">
            <wp:extent cx="5272405" cy="2964180"/>
            <wp:effectExtent l="0" t="0" r="4445" b="7620"/>
            <wp:docPr id="6" name="图片 6" descr="微信图片_2020021314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213145425"/>
                    <pic:cNvPicPr>
                      <a:picLocks noChangeAspect="1"/>
                    </pic:cNvPicPr>
                  </pic:nvPicPr>
                  <pic:blipFill>
                    <a:blip r:embed="rId5"/>
                    <a:stretch>
                      <a:fillRect/>
                    </a:stretch>
                  </pic:blipFill>
                  <pic:spPr>
                    <a:xfrm>
                      <a:off x="0" y="0"/>
                      <a:ext cx="5272405" cy="2964180"/>
                    </a:xfrm>
                    <a:prstGeom prst="rect">
                      <a:avLst/>
                    </a:prstGeom>
                  </pic:spPr>
                </pic:pic>
              </a:graphicData>
            </a:graphic>
          </wp:inline>
        </w:drawing>
      </w:r>
    </w:p>
    <w:p>
      <w:pPr>
        <w:rPr>
          <w:rFonts w:hint="default" w:ascii="Times New Roman" w:hAnsi="Times New Roman" w:cs="Times New Roman"/>
          <w:sz w:val="24"/>
          <w:szCs w:val="32"/>
        </w:rPr>
      </w:pPr>
    </w:p>
    <w:p>
      <w:pPr>
        <w:rPr>
          <w:rFonts w:hint="default" w:ascii="Times New Roman" w:hAnsi="Times New Roman" w:cs="Times New Roman"/>
          <w:sz w:val="24"/>
          <w:szCs w:val="32"/>
        </w:rPr>
      </w:pPr>
      <w:r>
        <w:rPr>
          <w:rFonts w:hint="default" w:ascii="Times New Roman" w:hAnsi="Times New Roman" w:cs="Times New Roman"/>
          <w:sz w:val="24"/>
          <w:szCs w:val="32"/>
        </w:rPr>
        <w:t>По состоянию на конец 2018 года, в зоне регистрированы 467 предприятий с уставным капиталом 23,2 млрд. юаней, из них 8 крупных промышленных предприятий, 6 компаний из числа ТОП 500 крупнейших предприятий Китая. Общий объем инвестиций 86 млрд. юаней, из них 6 млрд. юаней инвестировано в инфраструктуру.</w:t>
      </w:r>
    </w:p>
    <w:p>
      <w:pPr>
        <w:rPr>
          <w:rFonts w:hint="default" w:ascii="Times New Roman" w:hAnsi="Times New Roman" w:cs="Times New Roman"/>
          <w:sz w:val="24"/>
          <w:szCs w:val="32"/>
          <w:lang w:val="ru-RU"/>
        </w:rPr>
      </w:pPr>
      <w:r>
        <w:rPr>
          <w:rFonts w:hint="default" w:ascii="Times New Roman" w:hAnsi="Times New Roman" w:cs="Times New Roman"/>
          <w:sz w:val="24"/>
          <w:szCs w:val="32"/>
          <w:lang w:val="ru-RU"/>
        </w:rPr>
        <w:drawing>
          <wp:inline distT="0" distB="0" distL="114300" distR="114300">
            <wp:extent cx="5272405" cy="2964180"/>
            <wp:effectExtent l="0" t="0" r="4445" b="7620"/>
            <wp:docPr id="7" name="图片 7" descr="微信图片_2020021314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213145430"/>
                    <pic:cNvPicPr>
                      <a:picLocks noChangeAspect="1"/>
                    </pic:cNvPicPr>
                  </pic:nvPicPr>
                  <pic:blipFill>
                    <a:blip r:embed="rId6"/>
                    <a:stretch>
                      <a:fillRect/>
                    </a:stretch>
                  </pic:blipFill>
                  <pic:spPr>
                    <a:xfrm>
                      <a:off x="0" y="0"/>
                      <a:ext cx="5272405" cy="2964180"/>
                    </a:xfrm>
                    <a:prstGeom prst="rect">
                      <a:avLst/>
                    </a:prstGeom>
                  </pic:spPr>
                </pic:pic>
              </a:graphicData>
            </a:graphic>
          </wp:inline>
        </w:drawing>
      </w:r>
    </w:p>
    <w:p>
      <w:pPr>
        <w:rPr>
          <w:rFonts w:hint="default" w:ascii="Times New Roman" w:hAnsi="Times New Roman" w:cs="Times New Roman"/>
          <w:sz w:val="24"/>
          <w:szCs w:val="32"/>
        </w:rPr>
      </w:pPr>
      <w:r>
        <w:rPr>
          <w:rFonts w:hint="default" w:ascii="Times New Roman" w:hAnsi="Times New Roman" w:cs="Times New Roman"/>
          <w:sz w:val="24"/>
          <w:szCs w:val="32"/>
        </w:rPr>
        <w:t>Зона экономического и технологического развития «Ганьцюаньпу»  открывает новые возможности для дальнейшей реализации инициативы «Один пояс, Один путь». Имеются производственные парки новых материалов, парк новых источников энергии, парк по производству высокотехнологичного оборудования, парк химической промышленности, парк «зеленое строительство», промышленные парки по энергосбережению и по охране окружающей среды и другие 10 индустриальных парков.</w:t>
      </w:r>
    </w:p>
    <w:p>
      <w:pPr>
        <w:rPr>
          <w:rFonts w:hint="default" w:ascii="Times New Roman" w:hAnsi="Times New Roman" w:cs="Times New Roman"/>
          <w:sz w:val="24"/>
          <w:szCs w:val="32"/>
        </w:rPr>
      </w:pPr>
      <w:r>
        <w:rPr>
          <w:rFonts w:hint="default" w:ascii="Times New Roman" w:hAnsi="Times New Roman" w:cs="Times New Roman"/>
          <w:sz w:val="24"/>
          <w:szCs w:val="32"/>
        </w:rPr>
        <w:t>Зона технико-экономического развития «Ганьцюаньпу» г.Урумчи приветствует все желающие иностранные компании совместно сотрудничать и реализовать новые мечты.</w:t>
      </w:r>
    </w:p>
    <w:p>
      <w:pPr>
        <w:rPr>
          <w:rFonts w:hint="default" w:ascii="Times New Roman" w:hAnsi="Times New Roman" w:cs="Times New Roman"/>
          <w:sz w:val="24"/>
          <w:szCs w:val="32"/>
        </w:rPr>
      </w:pPr>
    </w:p>
    <w:p>
      <w:pPr>
        <w:rPr>
          <w:rFonts w:hint="default" w:ascii="Times New Roman" w:hAnsi="Times New Roman" w:cs="Times New Roman"/>
          <w:sz w:val="24"/>
          <w:szCs w:val="32"/>
        </w:rPr>
      </w:pPr>
      <w:r>
        <w:rPr>
          <w:rFonts w:hint="default" w:ascii="Times New Roman" w:hAnsi="Times New Roman" w:cs="Times New Roman"/>
          <w:sz w:val="24"/>
          <w:szCs w:val="32"/>
        </w:rPr>
        <w:t>Контактные лица:</w:t>
      </w:r>
    </w:p>
    <w:p>
      <w:pPr>
        <w:rPr>
          <w:rFonts w:hint="default" w:ascii="Times New Roman" w:hAnsi="Times New Roman" w:cs="Times New Roman"/>
          <w:sz w:val="24"/>
          <w:szCs w:val="32"/>
        </w:rPr>
      </w:pPr>
      <w:r>
        <w:rPr>
          <w:rFonts w:hint="default" w:ascii="Times New Roman" w:hAnsi="Times New Roman" w:cs="Times New Roman"/>
          <w:sz w:val="24"/>
          <w:szCs w:val="32"/>
        </w:rPr>
        <w:t>Маймакова Зульфия +8618599064701 (wechat)</w:t>
      </w:r>
    </w:p>
    <w:p>
      <w:pPr>
        <w:rPr>
          <w:rFonts w:hint="default" w:ascii="Times New Roman" w:hAnsi="Times New Roman" w:cs="Times New Roman"/>
          <w:sz w:val="24"/>
          <w:szCs w:val="32"/>
        </w:rPr>
      </w:pPr>
      <w:r>
        <w:rPr>
          <w:rFonts w:hint="default" w:ascii="Times New Roman" w:hAnsi="Times New Roman" w:cs="Times New Roman"/>
          <w:sz w:val="24"/>
          <w:szCs w:val="32"/>
        </w:rPr>
        <w:t>Хуан Фалэй +8613659990042 (wechat)</w:t>
      </w: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lfaen">
    <w:panose1 w:val="010A0502050306030303"/>
    <w:charset w:val="00"/>
    <w:family w:val="auto"/>
    <w:pitch w:val="default"/>
    <w:sig w:usb0="040006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541"/>
    <w:multiLevelType w:val="singleLevel"/>
    <w:tmpl w:val="13DB75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7168D"/>
    <w:rsid w:val="3E671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2020-02-13T06:52:00Z</dcterms:created>
  <dc:creator>Administrator</dc:creator>
  <cp:lastModifiedBy>Administrator</cp:lastModifiedBy>
  <dcterms:modified xsi:type="dcterms:W3CDTF">2020-02-13T06:57:07Z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